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0E" w:rsidRDefault="0064510E" w:rsidP="00100956">
      <w:pPr>
        <w:pStyle w:val="Header"/>
      </w:pPr>
    </w:p>
    <w:tbl>
      <w:tblPr>
        <w:tblStyle w:val="TableGrid"/>
        <w:tblW w:w="960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242"/>
        <w:gridCol w:w="851"/>
        <w:gridCol w:w="3260"/>
        <w:gridCol w:w="1169"/>
        <w:gridCol w:w="249"/>
        <w:gridCol w:w="141"/>
        <w:gridCol w:w="2694"/>
      </w:tblGrid>
      <w:tr w:rsidR="003A11EB" w:rsidTr="003A11EB">
        <w:tc>
          <w:tcPr>
            <w:tcW w:w="1242" w:type="dxa"/>
          </w:tcPr>
          <w:p w:rsidR="003A11EB" w:rsidRDefault="003A11EB">
            <w:r>
              <w:t>Policy Title:</w:t>
            </w:r>
          </w:p>
        </w:tc>
        <w:tc>
          <w:tcPr>
            <w:tcW w:w="4111" w:type="dxa"/>
            <w:gridSpan w:val="2"/>
          </w:tcPr>
          <w:p w:rsidR="003A11EB" w:rsidRDefault="00D86FE8">
            <w:r>
              <w:t>APPOINTMENT OF “ACTING” POSITIONS</w:t>
            </w:r>
          </w:p>
        </w:tc>
        <w:tc>
          <w:tcPr>
            <w:tcW w:w="1169" w:type="dxa"/>
          </w:tcPr>
          <w:p w:rsidR="003A11EB" w:rsidRDefault="003A11EB">
            <w:r>
              <w:t>Policy #:</w:t>
            </w:r>
          </w:p>
        </w:tc>
        <w:tc>
          <w:tcPr>
            <w:tcW w:w="3084" w:type="dxa"/>
            <w:gridSpan w:val="3"/>
          </w:tcPr>
          <w:p w:rsidR="003A11EB" w:rsidRDefault="004C0486">
            <w:r>
              <w:t>2011-08-22</w:t>
            </w:r>
          </w:p>
        </w:tc>
      </w:tr>
      <w:tr w:rsidR="003F4CBE" w:rsidTr="003A11EB">
        <w:tc>
          <w:tcPr>
            <w:tcW w:w="2093" w:type="dxa"/>
            <w:gridSpan w:val="2"/>
          </w:tcPr>
          <w:p w:rsidR="003F4CBE" w:rsidRDefault="003F4CBE">
            <w:r>
              <w:t>Authority Approval:</w:t>
            </w:r>
          </w:p>
        </w:tc>
        <w:tc>
          <w:tcPr>
            <w:tcW w:w="3260" w:type="dxa"/>
          </w:tcPr>
          <w:p w:rsidR="003F4CBE" w:rsidRDefault="003F4CBE">
            <w:r>
              <w:t>Mayor and Council</w:t>
            </w:r>
          </w:p>
        </w:tc>
        <w:tc>
          <w:tcPr>
            <w:tcW w:w="1418" w:type="dxa"/>
            <w:gridSpan w:val="2"/>
          </w:tcPr>
          <w:p w:rsidR="003F4CBE" w:rsidRDefault="003F4CBE">
            <w:r>
              <w:t>Resolution #:</w:t>
            </w:r>
          </w:p>
        </w:tc>
        <w:tc>
          <w:tcPr>
            <w:tcW w:w="2835" w:type="dxa"/>
            <w:gridSpan w:val="2"/>
          </w:tcPr>
          <w:p w:rsidR="003F4CBE" w:rsidRDefault="003F4CBE" w:rsidP="00060AAC">
            <w:pPr>
              <w:jc w:val="both"/>
              <w:rPr>
                <w:rFonts w:ascii="Arial" w:hAnsi="Arial" w:cs="Arial"/>
                <w:b/>
                <w:bCs/>
                <w:sz w:val="24"/>
              </w:rPr>
            </w:pPr>
            <w:r>
              <w:rPr>
                <w:rFonts w:ascii="Arial" w:hAnsi="Arial" w:cs="Arial"/>
                <w:b/>
                <w:bCs/>
                <w:sz w:val="24"/>
              </w:rPr>
              <w:t>#5-10-11-11</w:t>
            </w:r>
          </w:p>
        </w:tc>
      </w:tr>
      <w:tr w:rsidR="003F4CBE" w:rsidTr="003A11EB">
        <w:tc>
          <w:tcPr>
            <w:tcW w:w="2093" w:type="dxa"/>
            <w:gridSpan w:val="2"/>
          </w:tcPr>
          <w:p w:rsidR="003F4CBE" w:rsidRDefault="003F4CBE"/>
        </w:tc>
        <w:tc>
          <w:tcPr>
            <w:tcW w:w="3260" w:type="dxa"/>
          </w:tcPr>
          <w:p w:rsidR="003F4CBE" w:rsidRDefault="003F4CBE"/>
        </w:tc>
        <w:tc>
          <w:tcPr>
            <w:tcW w:w="1559" w:type="dxa"/>
            <w:gridSpan w:val="3"/>
          </w:tcPr>
          <w:p w:rsidR="003F4CBE" w:rsidRDefault="003F4CBE" w:rsidP="003C2636">
            <w:r>
              <w:t xml:space="preserve">Effective Date: </w:t>
            </w:r>
          </w:p>
        </w:tc>
        <w:tc>
          <w:tcPr>
            <w:tcW w:w="2694" w:type="dxa"/>
          </w:tcPr>
          <w:p w:rsidR="003F4CBE" w:rsidRDefault="003F4CBE">
            <w:r>
              <w:t>August 23, 2011</w:t>
            </w:r>
          </w:p>
        </w:tc>
      </w:tr>
      <w:tr w:rsidR="003F4CBE" w:rsidTr="00D26590">
        <w:tc>
          <w:tcPr>
            <w:tcW w:w="2093" w:type="dxa"/>
            <w:gridSpan w:val="2"/>
            <w:tcBorders>
              <w:bottom w:val="double" w:sz="4" w:space="0" w:color="auto"/>
            </w:tcBorders>
          </w:tcPr>
          <w:p w:rsidR="003F4CBE" w:rsidRDefault="003F4CBE"/>
        </w:tc>
        <w:tc>
          <w:tcPr>
            <w:tcW w:w="3260" w:type="dxa"/>
            <w:tcBorders>
              <w:bottom w:val="double" w:sz="4" w:space="0" w:color="auto"/>
            </w:tcBorders>
          </w:tcPr>
          <w:p w:rsidR="003F4CBE" w:rsidRDefault="003F4CBE"/>
        </w:tc>
        <w:tc>
          <w:tcPr>
            <w:tcW w:w="1169" w:type="dxa"/>
            <w:tcBorders>
              <w:bottom w:val="double" w:sz="4" w:space="0" w:color="auto"/>
            </w:tcBorders>
          </w:tcPr>
          <w:p w:rsidR="003F4CBE" w:rsidRDefault="003F4CBE"/>
        </w:tc>
        <w:tc>
          <w:tcPr>
            <w:tcW w:w="3084" w:type="dxa"/>
            <w:gridSpan w:val="3"/>
            <w:tcBorders>
              <w:bottom w:val="double" w:sz="4" w:space="0" w:color="auto"/>
            </w:tcBorders>
          </w:tcPr>
          <w:p w:rsidR="003F4CBE" w:rsidRDefault="003F4CBE"/>
        </w:tc>
      </w:tr>
      <w:tr w:rsidR="003F4CBE" w:rsidTr="00D26590">
        <w:tc>
          <w:tcPr>
            <w:tcW w:w="2093" w:type="dxa"/>
            <w:gridSpan w:val="2"/>
            <w:tcBorders>
              <w:top w:val="double" w:sz="4" w:space="0" w:color="auto"/>
              <w:bottom w:val="thickThinSmallGap" w:sz="24" w:space="0" w:color="auto"/>
            </w:tcBorders>
          </w:tcPr>
          <w:p w:rsidR="003F4CBE" w:rsidRDefault="003F4CBE">
            <w:r>
              <w:t>Distribution:</w:t>
            </w:r>
          </w:p>
        </w:tc>
        <w:tc>
          <w:tcPr>
            <w:tcW w:w="3260" w:type="dxa"/>
            <w:tcBorders>
              <w:top w:val="double" w:sz="4" w:space="0" w:color="auto"/>
              <w:bottom w:val="thickThinSmallGap" w:sz="24" w:space="0" w:color="auto"/>
            </w:tcBorders>
          </w:tcPr>
          <w:p w:rsidR="003F4CBE" w:rsidRDefault="003F4CBE">
            <w:r>
              <w:sym w:font="Wingdings" w:char="F0FE"/>
            </w:r>
            <w:r>
              <w:t xml:space="preserve"> Master</w:t>
            </w:r>
          </w:p>
          <w:p w:rsidR="003F4CBE" w:rsidRDefault="003F4CBE">
            <w:r>
              <w:sym w:font="Wingdings" w:char="F0FE"/>
            </w:r>
            <w:r>
              <w:t xml:space="preserve"> Administration</w:t>
            </w:r>
          </w:p>
          <w:p w:rsidR="003F4CBE" w:rsidRDefault="003F4CBE">
            <w:r>
              <w:sym w:font="Wingdings" w:char="F0FE"/>
            </w:r>
            <w:r>
              <w:t xml:space="preserve"> Council</w:t>
            </w:r>
          </w:p>
          <w:p w:rsidR="003F4CBE" w:rsidRDefault="003F4CBE" w:rsidP="00D26590">
            <w:r>
              <w:sym w:font="Wingdings" w:char="F0A8"/>
            </w:r>
            <w:r>
              <w:t xml:space="preserve"> FCSS</w:t>
            </w:r>
          </w:p>
        </w:tc>
        <w:tc>
          <w:tcPr>
            <w:tcW w:w="4253" w:type="dxa"/>
            <w:gridSpan w:val="4"/>
            <w:tcBorders>
              <w:top w:val="double" w:sz="4" w:space="0" w:color="auto"/>
              <w:bottom w:val="thickThinSmallGap" w:sz="24" w:space="0" w:color="auto"/>
            </w:tcBorders>
          </w:tcPr>
          <w:p w:rsidR="003F4CBE" w:rsidRDefault="003F4CBE">
            <w:r>
              <w:sym w:font="Wingdings" w:char="F0A8"/>
            </w:r>
            <w:r>
              <w:t xml:space="preserve"> Fire Department</w:t>
            </w:r>
          </w:p>
          <w:p w:rsidR="003F4CBE" w:rsidRDefault="003F4CBE">
            <w:r>
              <w:sym w:font="Wingdings" w:char="F0FE"/>
            </w:r>
            <w:r>
              <w:t xml:space="preserve"> Library</w:t>
            </w:r>
          </w:p>
          <w:p w:rsidR="003F4CBE" w:rsidRDefault="003F4CBE">
            <w:r>
              <w:sym w:font="Wingdings" w:char="F0FE"/>
            </w:r>
            <w:r>
              <w:t xml:space="preserve"> Public Works</w:t>
            </w:r>
          </w:p>
          <w:p w:rsidR="003F4CBE" w:rsidRDefault="003F4CBE" w:rsidP="00D26590">
            <w:r>
              <w:sym w:font="Wingdings" w:char="F0FE"/>
            </w:r>
            <w:r>
              <w:t xml:space="preserve"> Recreation</w:t>
            </w:r>
          </w:p>
        </w:tc>
      </w:tr>
    </w:tbl>
    <w:p w:rsidR="00C61007" w:rsidRDefault="00C61007" w:rsidP="0007754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7625"/>
      </w:tblGrid>
      <w:tr w:rsidR="003C2636" w:rsidTr="003C2636">
        <w:trPr>
          <w:trHeight w:val="537"/>
        </w:trPr>
        <w:tc>
          <w:tcPr>
            <w:tcW w:w="9576" w:type="dxa"/>
            <w:gridSpan w:val="3"/>
          </w:tcPr>
          <w:p w:rsidR="003C2636" w:rsidRPr="00077542" w:rsidRDefault="003C2636" w:rsidP="00077542">
            <w:pPr>
              <w:jc w:val="both"/>
              <w:rPr>
                <w:b/>
              </w:rPr>
            </w:pPr>
            <w:r w:rsidRPr="00077542">
              <w:rPr>
                <w:b/>
              </w:rPr>
              <w:t>Purpose:</w:t>
            </w:r>
          </w:p>
          <w:p w:rsidR="004D3CF5" w:rsidRPr="00077542" w:rsidRDefault="003C585C" w:rsidP="00077542">
            <w:pPr>
              <w:jc w:val="both"/>
              <w:rPr>
                <w:b/>
              </w:rPr>
            </w:pPr>
            <w:r w:rsidRPr="00077542">
              <w:rPr>
                <w:b/>
              </w:rPr>
              <w:t>To establish the criteria under which Council will make the appointments of “Acting Chief Administrative Officer” or “Acting Public Works Foreman” and to establish the pay differential for those appointments.</w:t>
            </w:r>
          </w:p>
          <w:p w:rsidR="004D3CF5" w:rsidRPr="00077542" w:rsidRDefault="004D3CF5" w:rsidP="00077542">
            <w:pPr>
              <w:jc w:val="both"/>
              <w:rPr>
                <w:b/>
              </w:rPr>
            </w:pPr>
          </w:p>
        </w:tc>
      </w:tr>
      <w:tr w:rsidR="007F28E9" w:rsidTr="00100956">
        <w:tc>
          <w:tcPr>
            <w:tcW w:w="1951" w:type="dxa"/>
            <w:gridSpan w:val="2"/>
          </w:tcPr>
          <w:p w:rsidR="007F28E9" w:rsidRDefault="007F28E9" w:rsidP="00077542">
            <w:pPr>
              <w:jc w:val="both"/>
            </w:pPr>
            <w:r>
              <w:t>Policy Statement:</w:t>
            </w:r>
          </w:p>
        </w:tc>
        <w:tc>
          <w:tcPr>
            <w:tcW w:w="7625" w:type="dxa"/>
          </w:tcPr>
          <w:p w:rsidR="004D3CF5" w:rsidRPr="003E04CF" w:rsidRDefault="003C585C" w:rsidP="00077542">
            <w:pPr>
              <w:jc w:val="both"/>
              <w:rPr>
                <w:spacing w:val="-2"/>
              </w:rPr>
            </w:pPr>
            <w:r w:rsidRPr="003E04CF">
              <w:rPr>
                <w:spacing w:val="-2"/>
              </w:rPr>
              <w:t>Cou</w:t>
            </w:r>
            <w:r w:rsidR="00E43A98" w:rsidRPr="003E04CF">
              <w:rPr>
                <w:spacing w:val="-2"/>
              </w:rPr>
              <w:t xml:space="preserve">ncil may appoint </w:t>
            </w:r>
            <w:r w:rsidR="004A759C" w:rsidRPr="003E04CF">
              <w:rPr>
                <w:spacing w:val="-2"/>
              </w:rPr>
              <w:t xml:space="preserve">a qualified staff member </w:t>
            </w:r>
            <w:r w:rsidR="00E43A98" w:rsidRPr="003E04CF">
              <w:rPr>
                <w:spacing w:val="-2"/>
              </w:rPr>
              <w:t>a</w:t>
            </w:r>
            <w:r w:rsidR="004A759C" w:rsidRPr="003E04CF">
              <w:rPr>
                <w:spacing w:val="-2"/>
              </w:rPr>
              <w:t>s</w:t>
            </w:r>
            <w:r w:rsidRPr="003E04CF">
              <w:rPr>
                <w:spacing w:val="-2"/>
              </w:rPr>
              <w:t xml:space="preserve"> “acting CAO” or “acting Public Works Foreman</w:t>
            </w:r>
            <w:r w:rsidR="003E04CF" w:rsidRPr="003E04CF">
              <w:rPr>
                <w:spacing w:val="-2"/>
              </w:rPr>
              <w:t>”</w:t>
            </w:r>
            <w:r w:rsidRPr="003E04CF">
              <w:rPr>
                <w:spacing w:val="-2"/>
              </w:rPr>
              <w:t xml:space="preserve"> when the CAO or Public Works Foreman are not able to fulfill their duties for an extended period of time due to either vacation leave or sick leave.</w:t>
            </w:r>
          </w:p>
          <w:p w:rsidR="004D3CF5" w:rsidRDefault="004D3CF5" w:rsidP="00077542">
            <w:pPr>
              <w:jc w:val="both"/>
            </w:pPr>
          </w:p>
        </w:tc>
      </w:tr>
      <w:tr w:rsidR="007F28E9" w:rsidTr="007F28E9">
        <w:tc>
          <w:tcPr>
            <w:tcW w:w="817" w:type="dxa"/>
          </w:tcPr>
          <w:p w:rsidR="007F28E9" w:rsidRDefault="007F28E9" w:rsidP="00077542">
            <w:pPr>
              <w:jc w:val="both"/>
            </w:pPr>
            <w:r>
              <w:t>1.</w:t>
            </w:r>
          </w:p>
        </w:tc>
        <w:tc>
          <w:tcPr>
            <w:tcW w:w="8759" w:type="dxa"/>
            <w:gridSpan w:val="2"/>
          </w:tcPr>
          <w:p w:rsidR="00100956" w:rsidRDefault="009B6ED3" w:rsidP="004A759C">
            <w:pPr>
              <w:jc w:val="both"/>
            </w:pPr>
            <w:r>
              <w:t xml:space="preserve">This policy will </w:t>
            </w:r>
            <w:r w:rsidR="004A759C">
              <w:t>apply to</w:t>
            </w:r>
            <w:r>
              <w:t xml:space="preserve"> the positions of Chief Administrative Officer</w:t>
            </w:r>
            <w:r w:rsidR="004A759C">
              <w:t xml:space="preserve"> (CAO) and Public Works Foreman only.</w:t>
            </w:r>
          </w:p>
        </w:tc>
      </w:tr>
      <w:tr w:rsidR="00E43A98" w:rsidTr="007F28E9">
        <w:tc>
          <w:tcPr>
            <w:tcW w:w="817" w:type="dxa"/>
          </w:tcPr>
          <w:p w:rsidR="00E43A98" w:rsidRDefault="00E43A98" w:rsidP="00077542">
            <w:pPr>
              <w:jc w:val="both"/>
            </w:pPr>
            <w:r>
              <w:t>2.</w:t>
            </w:r>
          </w:p>
        </w:tc>
        <w:tc>
          <w:tcPr>
            <w:tcW w:w="8759" w:type="dxa"/>
            <w:gridSpan w:val="2"/>
          </w:tcPr>
          <w:p w:rsidR="00E43A98" w:rsidRDefault="00E43A98" w:rsidP="00077542">
            <w:pPr>
              <w:jc w:val="both"/>
            </w:pPr>
            <w:r>
              <w:t xml:space="preserve">When appointed to an “acting” position, the “acting CAO” or “acting Public Works Foreman” shall assume all of the duties, responsibilities, and authority of the position into which they are appointed. </w:t>
            </w:r>
          </w:p>
        </w:tc>
      </w:tr>
      <w:tr w:rsidR="007F28E9" w:rsidTr="007F28E9">
        <w:tc>
          <w:tcPr>
            <w:tcW w:w="817" w:type="dxa"/>
          </w:tcPr>
          <w:p w:rsidR="00100956" w:rsidRDefault="003F4CBE" w:rsidP="00077542">
            <w:pPr>
              <w:jc w:val="both"/>
            </w:pPr>
            <w:r>
              <w:t>3</w:t>
            </w:r>
            <w:r w:rsidR="007F28E9">
              <w:t>.</w:t>
            </w:r>
            <w:r w:rsidR="00100956">
              <w:t xml:space="preserve"> </w:t>
            </w:r>
          </w:p>
        </w:tc>
        <w:tc>
          <w:tcPr>
            <w:tcW w:w="8759" w:type="dxa"/>
            <w:gridSpan w:val="2"/>
          </w:tcPr>
          <w:p w:rsidR="00100956" w:rsidRDefault="009B6ED3" w:rsidP="003F4CBE">
            <w:pPr>
              <w:jc w:val="both"/>
            </w:pPr>
            <w:r>
              <w:t xml:space="preserve">“Extended period of time” shall, in most cases, mean a period of </w:t>
            </w:r>
            <w:r w:rsidR="00544369">
              <w:t>10</w:t>
            </w:r>
            <w:r>
              <w:t xml:space="preserve"> </w:t>
            </w:r>
            <w:r w:rsidR="004A759C">
              <w:t xml:space="preserve">consecutive </w:t>
            </w:r>
            <w:r w:rsidR="00544369">
              <w:t xml:space="preserve">working </w:t>
            </w:r>
            <w:r>
              <w:t>days</w:t>
            </w:r>
            <w:r w:rsidR="004A759C">
              <w:t>.</w:t>
            </w:r>
          </w:p>
        </w:tc>
      </w:tr>
      <w:tr w:rsidR="007F28E9" w:rsidTr="007F28E9">
        <w:tc>
          <w:tcPr>
            <w:tcW w:w="817" w:type="dxa"/>
          </w:tcPr>
          <w:p w:rsidR="007F28E9" w:rsidRDefault="003F4CBE" w:rsidP="00077542">
            <w:pPr>
              <w:jc w:val="both"/>
            </w:pPr>
            <w:r>
              <w:t>4</w:t>
            </w:r>
            <w:r w:rsidR="007F28E9">
              <w:t>.</w:t>
            </w:r>
          </w:p>
        </w:tc>
        <w:tc>
          <w:tcPr>
            <w:tcW w:w="8759" w:type="dxa"/>
            <w:gridSpan w:val="2"/>
          </w:tcPr>
          <w:p w:rsidR="00100956" w:rsidRDefault="009B6ED3" w:rsidP="00077542">
            <w:pPr>
              <w:jc w:val="both"/>
            </w:pPr>
            <w:r>
              <w:t>Where possible, Council will be advised in writing of the expected leave at least 60 days prior to the first day of the leave.</w:t>
            </w:r>
          </w:p>
          <w:p w:rsidR="009B6ED3" w:rsidRPr="00100956" w:rsidRDefault="009B6ED3" w:rsidP="003E04CF">
            <w:pPr>
              <w:pStyle w:val="ListParagraph"/>
              <w:numPr>
                <w:ilvl w:val="0"/>
                <w:numId w:val="2"/>
              </w:numPr>
              <w:ind w:hanging="637"/>
              <w:jc w:val="both"/>
            </w:pPr>
            <w:r>
              <w:t>When Council has received notice from the CAO that the CAO or Public Works Foreman will not be available to fulfill his duties, Council may</w:t>
            </w:r>
            <w:r w:rsidR="00E43A98">
              <w:t>, by resolution,</w:t>
            </w:r>
            <w:r>
              <w:t xml:space="preserve"> appoint another qualified staff member to “act” as the CAO or Public Work Foreman during his absence.  </w:t>
            </w:r>
          </w:p>
        </w:tc>
      </w:tr>
      <w:tr w:rsidR="007F28E9" w:rsidTr="007F28E9">
        <w:tc>
          <w:tcPr>
            <w:tcW w:w="817" w:type="dxa"/>
          </w:tcPr>
          <w:p w:rsidR="007F28E9" w:rsidRDefault="003F4CBE" w:rsidP="00077542">
            <w:pPr>
              <w:jc w:val="both"/>
            </w:pPr>
            <w:r>
              <w:t>5</w:t>
            </w:r>
            <w:r w:rsidR="007F28E9">
              <w:t>.</w:t>
            </w:r>
          </w:p>
        </w:tc>
        <w:tc>
          <w:tcPr>
            <w:tcW w:w="8759" w:type="dxa"/>
            <w:gridSpan w:val="2"/>
          </w:tcPr>
          <w:p w:rsidR="00077542" w:rsidRDefault="00163432" w:rsidP="00544369">
            <w:pPr>
              <w:jc w:val="both"/>
            </w:pPr>
            <w:r>
              <w:t xml:space="preserve">Where a qualified staff member has been appointed by Council to </w:t>
            </w:r>
            <w:r w:rsidR="004A759C">
              <w:t>an “</w:t>
            </w:r>
            <w:r>
              <w:t>act</w:t>
            </w:r>
            <w:r w:rsidR="004A759C">
              <w:t>ing position”</w:t>
            </w:r>
            <w:r>
              <w:t xml:space="preserve">, that person shall be paid, during the acting period, </w:t>
            </w:r>
            <w:r w:rsidR="00544369">
              <w:t>at the existing rate of pay plus 10%</w:t>
            </w:r>
            <w:r>
              <w:t>.</w:t>
            </w:r>
          </w:p>
        </w:tc>
      </w:tr>
      <w:tr w:rsidR="007F28E9" w:rsidTr="007F28E9">
        <w:tc>
          <w:tcPr>
            <w:tcW w:w="817" w:type="dxa"/>
          </w:tcPr>
          <w:p w:rsidR="007F28E9" w:rsidRDefault="007F28E9" w:rsidP="00077542">
            <w:pPr>
              <w:jc w:val="both"/>
            </w:pPr>
          </w:p>
        </w:tc>
        <w:tc>
          <w:tcPr>
            <w:tcW w:w="8759" w:type="dxa"/>
            <w:gridSpan w:val="2"/>
          </w:tcPr>
          <w:p w:rsidR="003C2636" w:rsidRDefault="003C2636" w:rsidP="00077542">
            <w:pPr>
              <w:jc w:val="both"/>
            </w:pPr>
          </w:p>
        </w:tc>
      </w:tr>
    </w:tbl>
    <w:p w:rsidR="003A11EB" w:rsidRDefault="003A11EB" w:rsidP="004A759C">
      <w:pPr>
        <w:spacing w:after="0"/>
      </w:pPr>
    </w:p>
    <w:tbl>
      <w:tblPr>
        <w:tblStyle w:val="TableGrid"/>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070"/>
        <w:gridCol w:w="4394"/>
      </w:tblGrid>
      <w:tr w:rsidR="007F28E9" w:rsidTr="00100956">
        <w:tc>
          <w:tcPr>
            <w:tcW w:w="5070" w:type="dxa"/>
          </w:tcPr>
          <w:p w:rsidR="007F28E9" w:rsidRDefault="007F28E9" w:rsidP="00100956">
            <w:r>
              <w:t>Reviewed/Amended</w:t>
            </w:r>
          </w:p>
        </w:tc>
        <w:tc>
          <w:tcPr>
            <w:tcW w:w="4394" w:type="dxa"/>
          </w:tcPr>
          <w:p w:rsidR="007F28E9" w:rsidRDefault="007F28E9" w:rsidP="007F28E9">
            <w:r>
              <w:t xml:space="preserve">Date:  </w:t>
            </w:r>
          </w:p>
        </w:tc>
      </w:tr>
      <w:tr w:rsidR="007F28E9" w:rsidTr="00100956">
        <w:tc>
          <w:tcPr>
            <w:tcW w:w="5070" w:type="dxa"/>
          </w:tcPr>
          <w:p w:rsidR="007F28E9" w:rsidRDefault="007F28E9" w:rsidP="00100956"/>
          <w:p w:rsidR="007F28E9" w:rsidRDefault="007F28E9" w:rsidP="00100956"/>
        </w:tc>
        <w:tc>
          <w:tcPr>
            <w:tcW w:w="4394" w:type="dxa"/>
          </w:tcPr>
          <w:p w:rsidR="007F28E9" w:rsidRDefault="007F28E9" w:rsidP="00100956"/>
        </w:tc>
      </w:tr>
      <w:tr w:rsidR="007F28E9" w:rsidTr="00100956">
        <w:tc>
          <w:tcPr>
            <w:tcW w:w="5070" w:type="dxa"/>
          </w:tcPr>
          <w:p w:rsidR="007F28E9" w:rsidRDefault="007F28E9" w:rsidP="00100956">
            <w:r>
              <w:t>Mayor</w:t>
            </w:r>
          </w:p>
        </w:tc>
        <w:tc>
          <w:tcPr>
            <w:tcW w:w="4394" w:type="dxa"/>
          </w:tcPr>
          <w:p w:rsidR="007F28E9" w:rsidRDefault="007F28E9" w:rsidP="00100956">
            <w:r>
              <w:t>CAO</w:t>
            </w:r>
          </w:p>
        </w:tc>
      </w:tr>
    </w:tbl>
    <w:p w:rsidR="003A11EB" w:rsidRDefault="003A11EB">
      <w:bookmarkStart w:id="0" w:name="_GoBack"/>
      <w:bookmarkEnd w:id="0"/>
    </w:p>
    <w:sectPr w:rsidR="003A11EB" w:rsidSect="0064510E">
      <w:headerReference w:type="default" r:id="rId8"/>
      <w:footerReference w:type="default" r:id="rId9"/>
      <w:pgSz w:w="12240" w:h="15840"/>
      <w:pgMar w:top="26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98" w:rsidRDefault="00E43A98" w:rsidP="0064510E">
      <w:pPr>
        <w:spacing w:after="0" w:line="240" w:lineRule="auto"/>
      </w:pPr>
      <w:r>
        <w:separator/>
      </w:r>
    </w:p>
  </w:endnote>
  <w:endnote w:type="continuationSeparator" w:id="0">
    <w:p w:rsidR="00E43A98" w:rsidRDefault="00E43A98" w:rsidP="0064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98" w:rsidRDefault="00E43A98">
    <w:pPr>
      <w:pStyle w:val="Footer"/>
    </w:pPr>
    <w:r>
      <w:rPr>
        <w:noProof/>
      </w:rPr>
      <w:drawing>
        <wp:anchor distT="0" distB="0" distL="114300" distR="114300" simplePos="0" relativeHeight="251661312" behindDoc="1" locked="0" layoutInCell="1" allowOverlap="1">
          <wp:simplePos x="0" y="0"/>
          <wp:positionH relativeFrom="column">
            <wp:posOffset>-890092</wp:posOffset>
          </wp:positionH>
          <wp:positionV relativeFrom="paragraph">
            <wp:posOffset>-46520</wp:posOffset>
          </wp:positionV>
          <wp:extent cx="7753350" cy="843280"/>
          <wp:effectExtent l="0" t="0" r="0" b="0"/>
          <wp:wrapNone/>
          <wp:docPr id="3"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1">
                    <a:extLst>
                      <a:ext uri="{28A0092B-C50C-407E-A947-70E740481C1C}">
                        <a14:useLocalDpi xmlns:a14="http://schemas.microsoft.com/office/drawing/2010/main" val="0"/>
                      </a:ext>
                    </a:extLst>
                  </a:blip>
                  <a:srcRect t="91599"/>
                  <a:stretch>
                    <a:fillRect/>
                  </a:stretch>
                </pic:blipFill>
                <pic:spPr bwMode="auto">
                  <a:xfrm>
                    <a:off x="0" y="0"/>
                    <a:ext cx="7753350" cy="843280"/>
                  </a:xfrm>
                  <a:prstGeom prst="rect">
                    <a:avLst/>
                  </a:prstGeom>
                  <a:noFill/>
                  <a:ln>
                    <a:noFill/>
                  </a:ln>
                </pic:spPr>
              </pic:pic>
            </a:graphicData>
          </a:graphic>
        </wp:anchor>
      </w:drawing>
    </w:r>
  </w:p>
  <w:p w:rsidR="00E43A98" w:rsidRDefault="00E43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98" w:rsidRDefault="00E43A98" w:rsidP="0064510E">
      <w:pPr>
        <w:spacing w:after="0" w:line="240" w:lineRule="auto"/>
      </w:pPr>
      <w:r>
        <w:separator/>
      </w:r>
    </w:p>
  </w:footnote>
  <w:footnote w:type="continuationSeparator" w:id="0">
    <w:p w:rsidR="00E43A98" w:rsidRDefault="00E43A98" w:rsidP="00645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98" w:rsidRDefault="00E43A98">
    <w:pPr>
      <w:pStyle w:val="Header"/>
    </w:pPr>
    <w:r>
      <w:rPr>
        <w:noProof/>
        <w:lang w:eastAsia="en-CA"/>
      </w:rPr>
      <w:drawing>
        <wp:anchor distT="0" distB="0" distL="114300" distR="114300" simplePos="0" relativeHeight="251659264" behindDoc="1" locked="0" layoutInCell="1" allowOverlap="1">
          <wp:simplePos x="0" y="0"/>
          <wp:positionH relativeFrom="column">
            <wp:posOffset>-874395</wp:posOffset>
          </wp:positionH>
          <wp:positionV relativeFrom="paragraph">
            <wp:posOffset>-421778</wp:posOffset>
          </wp:positionV>
          <wp:extent cx="7719695" cy="1623695"/>
          <wp:effectExtent l="0" t="0" r="0" b="0"/>
          <wp:wrapNone/>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1">
                    <a:extLst>
                      <a:ext uri="{28A0092B-C50C-407E-A947-70E740481C1C}">
                        <a14:useLocalDpi xmlns:a14="http://schemas.microsoft.com/office/drawing/2010/main" val="0"/>
                      </a:ext>
                    </a:extLst>
                  </a:blip>
                  <a:srcRect l="-507" t="-333" b="83998"/>
                  <a:stretch>
                    <a:fillRect/>
                  </a:stretch>
                </pic:blipFill>
                <pic:spPr bwMode="auto">
                  <a:xfrm>
                    <a:off x="0" y="0"/>
                    <a:ext cx="7719695" cy="1623695"/>
                  </a:xfrm>
                  <a:prstGeom prst="rect">
                    <a:avLst/>
                  </a:prstGeom>
                  <a:noFill/>
                  <a:ln>
                    <a:noFill/>
                  </a:ln>
                </pic:spPr>
              </pic:pic>
            </a:graphicData>
          </a:graphic>
        </wp:anchor>
      </w:drawing>
    </w:r>
  </w:p>
  <w:p w:rsidR="00E43A98" w:rsidRDefault="00E43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255F"/>
    <w:multiLevelType w:val="hybridMultilevel"/>
    <w:tmpl w:val="860E59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65B73AB"/>
    <w:multiLevelType w:val="hybridMultilevel"/>
    <w:tmpl w:val="25E881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BD76F2B"/>
    <w:multiLevelType w:val="hybridMultilevel"/>
    <w:tmpl w:val="3D58BB50"/>
    <w:lvl w:ilvl="0" w:tplc="6736F21A">
      <w:start w:val="1"/>
      <w:numFmt w:val="lowerLetter"/>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14"/>
    <w:rsid w:val="00077542"/>
    <w:rsid w:val="00100956"/>
    <w:rsid w:val="00163432"/>
    <w:rsid w:val="00357132"/>
    <w:rsid w:val="003A11EB"/>
    <w:rsid w:val="003C2636"/>
    <w:rsid w:val="003C585C"/>
    <w:rsid w:val="003E04CF"/>
    <w:rsid w:val="003F4CBE"/>
    <w:rsid w:val="00456657"/>
    <w:rsid w:val="004A759C"/>
    <w:rsid w:val="004C0486"/>
    <w:rsid w:val="004D3CF5"/>
    <w:rsid w:val="00544369"/>
    <w:rsid w:val="0064510E"/>
    <w:rsid w:val="007F28E9"/>
    <w:rsid w:val="008024C7"/>
    <w:rsid w:val="009B6ED3"/>
    <w:rsid w:val="00AC2614"/>
    <w:rsid w:val="00BC22C2"/>
    <w:rsid w:val="00C30578"/>
    <w:rsid w:val="00C61007"/>
    <w:rsid w:val="00D26590"/>
    <w:rsid w:val="00D86FE8"/>
    <w:rsid w:val="00E43A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0E"/>
    <w:pPr>
      <w:tabs>
        <w:tab w:val="center" w:pos="4680"/>
        <w:tab w:val="right" w:pos="9360"/>
      </w:tabs>
      <w:spacing w:after="0" w:line="240" w:lineRule="auto"/>
    </w:pPr>
    <w:rPr>
      <w:rFonts w:ascii="Calibri" w:eastAsia="SimSun" w:hAnsi="Calibri" w:cs="Times New Roman"/>
      <w:lang w:eastAsia="zh-CN"/>
    </w:rPr>
  </w:style>
  <w:style w:type="character" w:customStyle="1" w:styleId="HeaderChar">
    <w:name w:val="Header Char"/>
    <w:basedOn w:val="DefaultParagraphFont"/>
    <w:link w:val="Header"/>
    <w:uiPriority w:val="99"/>
    <w:rsid w:val="0064510E"/>
    <w:rPr>
      <w:rFonts w:ascii="Calibri" w:eastAsia="SimSun" w:hAnsi="Calibri" w:cs="Times New Roman"/>
      <w:lang w:eastAsia="zh-CN"/>
    </w:rPr>
  </w:style>
  <w:style w:type="paragraph" w:styleId="Footer">
    <w:name w:val="footer"/>
    <w:basedOn w:val="Normal"/>
    <w:link w:val="FooterChar"/>
    <w:uiPriority w:val="99"/>
    <w:unhideWhenUsed/>
    <w:rsid w:val="00645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0E"/>
  </w:style>
  <w:style w:type="paragraph" w:styleId="BalloonText">
    <w:name w:val="Balloon Text"/>
    <w:basedOn w:val="Normal"/>
    <w:link w:val="BalloonTextChar"/>
    <w:uiPriority w:val="99"/>
    <w:semiHidden/>
    <w:unhideWhenUsed/>
    <w:rsid w:val="0064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10E"/>
    <w:rPr>
      <w:rFonts w:ascii="Tahoma" w:hAnsi="Tahoma" w:cs="Tahoma"/>
      <w:sz w:val="16"/>
      <w:szCs w:val="16"/>
    </w:rPr>
  </w:style>
  <w:style w:type="table" w:styleId="TableGrid">
    <w:name w:val="Table Grid"/>
    <w:basedOn w:val="TableNormal"/>
    <w:uiPriority w:val="59"/>
    <w:rsid w:val="003A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0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0E"/>
    <w:pPr>
      <w:tabs>
        <w:tab w:val="center" w:pos="4680"/>
        <w:tab w:val="right" w:pos="9360"/>
      </w:tabs>
      <w:spacing w:after="0" w:line="240" w:lineRule="auto"/>
    </w:pPr>
    <w:rPr>
      <w:rFonts w:ascii="Calibri" w:eastAsia="SimSun" w:hAnsi="Calibri" w:cs="Times New Roman"/>
      <w:lang w:eastAsia="zh-CN"/>
    </w:rPr>
  </w:style>
  <w:style w:type="character" w:customStyle="1" w:styleId="HeaderChar">
    <w:name w:val="Header Char"/>
    <w:basedOn w:val="DefaultParagraphFont"/>
    <w:link w:val="Header"/>
    <w:uiPriority w:val="99"/>
    <w:rsid w:val="0064510E"/>
    <w:rPr>
      <w:rFonts w:ascii="Calibri" w:eastAsia="SimSun" w:hAnsi="Calibri" w:cs="Times New Roman"/>
      <w:lang w:eastAsia="zh-CN"/>
    </w:rPr>
  </w:style>
  <w:style w:type="paragraph" w:styleId="Footer">
    <w:name w:val="footer"/>
    <w:basedOn w:val="Normal"/>
    <w:link w:val="FooterChar"/>
    <w:uiPriority w:val="99"/>
    <w:unhideWhenUsed/>
    <w:rsid w:val="00645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0E"/>
  </w:style>
  <w:style w:type="paragraph" w:styleId="BalloonText">
    <w:name w:val="Balloon Text"/>
    <w:basedOn w:val="Normal"/>
    <w:link w:val="BalloonTextChar"/>
    <w:uiPriority w:val="99"/>
    <w:semiHidden/>
    <w:unhideWhenUsed/>
    <w:rsid w:val="0064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10E"/>
    <w:rPr>
      <w:rFonts w:ascii="Tahoma" w:hAnsi="Tahoma" w:cs="Tahoma"/>
      <w:sz w:val="16"/>
      <w:szCs w:val="16"/>
    </w:rPr>
  </w:style>
  <w:style w:type="table" w:styleId="TableGrid">
    <w:name w:val="Table Grid"/>
    <w:basedOn w:val="TableNormal"/>
    <w:uiPriority w:val="59"/>
    <w:rsid w:val="003A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Bobocel</dc:creator>
  <cp:lastModifiedBy>Debbie Bobocel</cp:lastModifiedBy>
  <cp:revision>7</cp:revision>
  <cp:lastPrinted>2011-10-03T23:26:00Z</cp:lastPrinted>
  <dcterms:created xsi:type="dcterms:W3CDTF">2011-08-16T21:14:00Z</dcterms:created>
  <dcterms:modified xsi:type="dcterms:W3CDTF">2012-06-22T22:56:00Z</dcterms:modified>
</cp:coreProperties>
</file>